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1" w:rsidRDefault="00EB2EB1" w:rsidP="008842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ВНИМАНИЮ ИНДИВИДУАЛЬНЫХ ПРЕДПРИНИМАТЕЛЕЙ!</w:t>
      </w:r>
    </w:p>
    <w:p w:rsidR="00884206" w:rsidRPr="00FF1145" w:rsidRDefault="00884206" w:rsidP="008842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</w:t>
      </w:r>
      <w:r w:rsidR="00F46A9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НЫЕ ИЗМЕНЕНИЯ ЗАКОНОДАТЕЛЬСТВА по состоянию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32735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</w:t>
      </w:r>
      <w:r w:rsidR="00D8182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AC1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июня 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2017 ГОДА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обзоре собраны </w:t>
      </w:r>
      <w:r w:rsidR="00432735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последние изменения законодательства по состоянию на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AC1B6A">
        <w:rPr>
          <w:rFonts w:ascii="Arial" w:eastAsia="Times New Roman" w:hAnsi="Arial" w:cs="Arial"/>
          <w:b/>
          <w:sz w:val="20"/>
          <w:szCs w:val="20"/>
          <w:lang w:eastAsia="ru-RU"/>
        </w:rPr>
        <w:t>июня</w:t>
      </w:r>
      <w:r w:rsidR="00D81820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2017 года</w:t>
      </w:r>
      <w:r w:rsidR="00F471C9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p w:rsidR="00884206" w:rsidRPr="00FF1145" w:rsidRDefault="00884206" w:rsidP="0088420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471C9" w:rsidRPr="00FF1145" w:rsidRDefault="00F471C9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2119"/>
        <w:gridCol w:w="6898"/>
      </w:tblGrid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</w:tcPr>
          <w:p w:rsidR="00840B5E" w:rsidRPr="00A739F3" w:rsidRDefault="00840B5E" w:rsidP="00840B5E">
            <w:pPr>
              <w:spacing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Самозанятые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граждане, патентная система налогообложения.</w:t>
            </w:r>
          </w:p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A739F3" w:rsidRDefault="00FF1145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40B5E" w:rsidRPr="00B44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840B5E" w:rsidRPr="00A7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Уведомить налоговый орган об осуществлении (о прекращении) деятельности по оказанию услуг физлицу для личных, домашних и (или) иных подобных нужд необходимо в соответствии с утвержденной формой (форматом)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7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основании данного уведомления осуществляется постановка на налоговый учет (снятие с учета) физических лиц (за исключением лиц, указанных в статье 227.1 НК РФ), не являющихся индивидуальными предпринимателями и оказывающих указанные услуги без 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"</w:t>
            </w:r>
            <w:proofErr w:type="spellStart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граждан, полученные в 2017 и 2018 годах, освобождаются от НДФЛ в случае, если лицо бы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 поставлено на налоговый учет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ФНС России сообщен порядок постановки на учет "</w:t>
            </w:r>
            <w:proofErr w:type="spellStart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" граждан, оказывающих услуги физическим лицам для личных, домашних и (или) иных подобных нужд без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Постановка на учет таких граждан осуществляется на основании уведомлений по месту жительства (мест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 пребывания) физического лица.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граждан, полученные от оказания услуг (установленных НК РФ и законом субъекта РФ), подлежат освобождению от налогообложения на основании пункта 70 статьи 217 НК РФ.</w:t>
            </w:r>
          </w:p>
          <w:p w:rsidR="008D2D6B" w:rsidRPr="00FF1145" w:rsidRDefault="008D2D6B" w:rsidP="009C7E9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</w:tcPr>
          <w:p w:rsidR="000B3635" w:rsidRPr="00FF1145" w:rsidRDefault="00FF114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</w:t>
            </w:r>
            <w:r w:rsidR="000B3635"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D96B95" w:rsidRDefault="00F46A90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40B5E" w:rsidRPr="00D96B95">
              <w:rPr>
                <w:rFonts w:ascii="Arial" w:hAnsi="Arial" w:cs="Arial"/>
                <w:b/>
                <w:sz w:val="20"/>
                <w:szCs w:val="20"/>
              </w:rPr>
              <w:t>В расчет по страховым взносам, представляемый начиная с отчетности за I квартал 2017 года, включаются сведе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>ния, содержащиеся в форме СЗВ-М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лицам, представляют в налоговый орган расчет по страховым взносам по форме, утвержденной Приказом ФНС России от 10.10.2016 N ММВ-7-11/551@.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Минфином России сообщается, что в разделе 3 "Персонифицированные сведения о застрахованных лицах" данного расчета указываются сведения, отражаемые в том числе в форме СЗВ-М "Сведения о застрахованных лицах", утвержденной постановлением Правления Пенсионного фонда РФ от 01.02.2016 N 83п</w:t>
            </w:r>
          </w:p>
          <w:p w:rsidR="00840B5E" w:rsidRPr="00CE67E8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E67E8">
              <w:rPr>
                <w:rFonts w:ascii="Arial" w:hAnsi="Arial" w:cs="Arial"/>
                <w:b/>
                <w:sz w:val="20"/>
                <w:szCs w:val="20"/>
              </w:rPr>
              <w:t>ФНС России утвердила новые формы реестров счетов-фактур, представляемых в налоговые органы плательщиками акцизов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Утверждены формы реестров счетов-фактур (перечень реестров изменен и дополнен новыми формами), порядок их заполнения, а также порядок представления реестров счетов-фактур в налоговые органы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Приказ содержит формы реестр</w:t>
            </w:r>
            <w:r>
              <w:rPr>
                <w:rFonts w:ascii="Arial" w:hAnsi="Arial" w:cs="Arial"/>
                <w:sz w:val="20"/>
                <w:szCs w:val="20"/>
              </w:rPr>
              <w:t>ов счетов-фактур, выставленных: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 xml:space="preserve"> налогоплательщиками, имеющими свидетельство на производство денатурированного этилового спирта;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производство прямогонного бензина;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lastRenderedPageBreak/>
              <w:t xml:space="preserve">    собственниками давальческого сырья при реализации прямогонного бензина, произведенного из этого сырья;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переработку прямогонного бензина и (или) свидетельство о регистрации лица, совершающего операции с бензолом, параксилолом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ортоксилолом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поставщиками бензола, параксилола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ортоксилола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российскими пост</w:t>
            </w:r>
            <w:r>
              <w:rPr>
                <w:rFonts w:ascii="Arial" w:hAnsi="Arial" w:cs="Arial"/>
                <w:sz w:val="20"/>
                <w:szCs w:val="20"/>
              </w:rPr>
              <w:t>авщиками авиационного керосина.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Признан утратившим силу приказ ФНС России от 10.11.2014 N ММВ-7-3/574@ "Об утверждении форм реестров счетов-фактур."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При выставлении счета-фактуры индивидуальные предприниматели указывают реквизиты документа, подтверждающе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 факт внесения записи в ЕГРИП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До 2017 года документом, подтверждающим факт внесения записи в Единый государственный реестр индивидуальных предпринимателей, являлось Свидетельство о государственной регистрации физического лица в качестве индивидуального предпринимателя по форме N Р61003. Выдача такого свидетельства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1 января 2017 года отменена.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С указанной даты для индивидуальных предпринимателей, зарегистрированных с 1 января 2017 года, реквизитами, отражаемыми в счете-фактуре, являются данные Листа записи Единого государственного реестра индивидуальных предпринимателей о дате внесения записи об индивидуальном предпринимателе в ЕГРИП и ОГРНИП.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b/>
                <w:sz w:val="20"/>
                <w:szCs w:val="20"/>
              </w:rPr>
              <w:t>Налоговые органы вправе предоставить отсрочку (рассрочку) по уплате только тех страховых взносов, пеней и штрафов, которые уплачиваются в соотв</w:t>
            </w:r>
            <w:r>
              <w:rPr>
                <w:rFonts w:ascii="Arial" w:hAnsi="Arial" w:cs="Arial"/>
                <w:b/>
                <w:sz w:val="20"/>
                <w:szCs w:val="20"/>
              </w:rPr>
              <w:t>етствии с Налоговым кодексом РФ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 xml:space="preserve">Порядок изменения сроков уплаты таких страховых взносов регламентирован </w:t>
            </w:r>
            <w:r>
              <w:rPr>
                <w:rFonts w:ascii="Arial" w:hAnsi="Arial" w:cs="Arial"/>
                <w:sz w:val="20"/>
                <w:szCs w:val="20"/>
              </w:rPr>
              <w:t>главой 9 Налогового кодекса РФ.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В частности, что касается страховых взносов, пеней и штрафов, которые установлены Федеральным законом от 24.07.2009 N 212-ФЗ "О страховых взносах...", налоговые органы т</w:t>
            </w:r>
            <w:r>
              <w:rPr>
                <w:rFonts w:ascii="Arial" w:hAnsi="Arial" w:cs="Arial"/>
                <w:sz w:val="20"/>
                <w:szCs w:val="20"/>
              </w:rPr>
              <w:t>акими полномочиями не наделены.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Сообщается также, что задолженность и недоимка, возникшие за отчетные (расчетные) периоды, истекшие до 01.01.2017, подлежат уплате или взысканию налоговым органом в соответствии с частью 2 статьи 4 Федерального закона от 03.07.2016 N 243-ФЗ.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>Обновлены формы документов, используемых ФСС России для предоставления отсрочки (рассрочки) по уплате страховых взносо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в, пеней и штрафов в ФСС России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>Утверждены</w:t>
            </w:r>
            <w:r>
              <w:rPr>
                <w:rFonts w:ascii="Arial" w:hAnsi="Arial" w:cs="Arial"/>
                <w:sz w:val="20"/>
                <w:szCs w:val="20"/>
              </w:rPr>
              <w:t>, в частности, следующие формы: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заявление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временном приостановлении уплаты сумм задолженности по страховым взносам;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извещение об отмене решения о предоставлении отсрочки (рассрочки) по уплате стра</w:t>
            </w:r>
            <w:r>
              <w:rPr>
                <w:rFonts w:ascii="Arial" w:hAnsi="Arial" w:cs="Arial"/>
                <w:sz w:val="20"/>
                <w:szCs w:val="20"/>
              </w:rPr>
              <w:t>ховых взносов, пеней и штрафов.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Утратившим силу признан Приказ ФСС России от 21.05.2015 N 205 "Об утверждении форм документов, применяемых при предоставлении отсрочки (рассрочки) по уплате страховых взносов, пеней и штрафов в Фонд социального страхования Российской Федерации".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>Индивидуальные предприниматели вправе выдавать налогоплательщикам справки об оплате медицинских услуг для целей получения и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 социальных налоговых вычетов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Социальный налоговый вычет на лечение предоставляется при наличии документов, подтверждающих фактические расходы налогоплательщика на лечение.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Одним из таких документов является справка об оплате медицинских услуг (по утвержденной форме).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На запрос ФНС России Минздравом России сообщено, что, по его мнению, индивидуальные предприниматели наравне с иными медицинскими организациями, осуществляющими медицинскую деятельность на основании лицензии, вправе выдавать указанные справки налогоплательщикам с целью получения социального налогового вычета за оказанные медицинские услуги (в соответствии с Перечнем, утвержденным Постановлением Правительства РФ от 19.03.2001 N 201).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 xml:space="preserve">ФНС России разъяснила порядок внесения изменений в Единый реестр субъектов малого и среднего предпринимательства с учетом уточненных критериев 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численности работников и доходу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Положения, предусматривающие уточненные критерии отнесения экономических субъектов к категории субъектов малого и среднего предпринимательства (МСП), вступи</w:t>
            </w:r>
            <w:r>
              <w:rPr>
                <w:rFonts w:ascii="Arial" w:hAnsi="Arial" w:cs="Arial"/>
                <w:sz w:val="20"/>
                <w:szCs w:val="20"/>
              </w:rPr>
              <w:t>ли в силу с 1 января 2016 года.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При этом согласно общему правилу категория субъекта МСП изменяется, если предельные значения по организации выше или ниже установленных предельных значений в течение трех по</w:t>
            </w:r>
            <w:r>
              <w:rPr>
                <w:rFonts w:ascii="Arial" w:hAnsi="Arial" w:cs="Arial"/>
                <w:sz w:val="20"/>
                <w:szCs w:val="20"/>
              </w:rPr>
              <w:t>следовательных календарных лет.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Это означает, что соответствие установленным значениям может быть определе</w:t>
            </w:r>
            <w:r>
              <w:rPr>
                <w:rFonts w:ascii="Arial" w:hAnsi="Arial" w:cs="Arial"/>
                <w:sz w:val="20"/>
                <w:szCs w:val="20"/>
              </w:rPr>
              <w:t>но за период 2016 - 2018 годов.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Следовательно, впервые категория субъекта МСП может быть изменена при формировании реестра 10 августа 2019 года по состоянию на 1 июля 2019 года.</w:t>
            </w:r>
          </w:p>
          <w:p w:rsidR="00840B5E" w:rsidRPr="00BD3FCD" w:rsidRDefault="00840B5E" w:rsidP="00840B5E">
            <w:pPr>
              <w:pStyle w:val="a8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</w:rPr>
              <w:t xml:space="preserve">           </w:t>
            </w:r>
            <w:r w:rsidRPr="00BD3FCD">
              <w:rPr>
                <w:rFonts w:ascii="Helvetica" w:hAnsi="Helvetica" w:cs="Helvetica"/>
                <w:b/>
                <w:sz w:val="20"/>
                <w:szCs w:val="20"/>
              </w:rPr>
              <w:t xml:space="preserve">С 1 апреля 2017 года для подтверждения освобождения от уплаты акциза налогоплательщики вправе представить реестры таможенных деклараций и товаросопроводительных документов в электронной форме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 xml:space="preserve">ФНС России напоминает о вступлении в силу изменений, внесенных Федеральным законом 05.04.2016 N 101-ФЗ в статью 198 НК РФ.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>Ранее налогоплательщики в обязательном порядке представляли в налоговый орган полный пакет документов на бумажном носителе.</w:t>
            </w:r>
          </w:p>
          <w:p w:rsidR="008D2D6B" w:rsidRPr="00FF1145" w:rsidRDefault="008D2D6B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7E91" w:rsidRPr="00FF1145" w:rsidTr="00FF1145">
        <w:tc>
          <w:tcPr>
            <w:tcW w:w="328" w:type="dxa"/>
          </w:tcPr>
          <w:p w:rsidR="009C7E91" w:rsidRPr="00FF1145" w:rsidRDefault="009C7E91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9C7E91" w:rsidRPr="00FF1145" w:rsidRDefault="00840B5E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Проверки контролирующими органами</w:t>
            </w:r>
          </w:p>
        </w:tc>
        <w:tc>
          <w:tcPr>
            <w:tcW w:w="6898" w:type="dxa"/>
          </w:tcPr>
          <w:p w:rsidR="00840B5E" w:rsidRPr="004A3513" w:rsidRDefault="009C7E91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145">
              <w:t xml:space="preserve">       </w:t>
            </w:r>
            <w:r w:rsidR="00840B5E"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Усовершенствован порядок осуществления внешнего контроля качества</w:t>
            </w:r>
            <w:r w:rsidR="00840B5E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аудиторских организаций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Федеральным законом внесены, в частности: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 защите прав юридических лиц и индивидуальных предпринимателей при осуществлении государственного контроля (надзора) и муниципального контроля" предусмотрено, что особенности организации и проведения проверок могут устанавливаться другими федеральными законами при осуществлении внешнего контроля качества работы аудиторских организаций, определенных в соответствии с Федеральным законом "Об аудиторской деятельности", который осуществляется федеральным органом исполнительной власти;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скорректированы сроки и периодичность осуществления саморегулируемой организацией аудиторов плановой внешней проверки качества работы аудиторской организации, индивидуального аудитора;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"Об аудиторской деятельности" предусмотрена процедура проведения внешнего контроля качества работы аудиторских организаций, осуществляемого уполномоченным федеральным органом по контролю и надзору;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должностные лица уполномоченного федерального органа по контролю и надзору и его территориальных органов, осуществляющие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lastRenderedPageBreak/>
              <w:t>внешний контроль качества работы аудиторских организаций, проводящих обязательный аудит бухгалтерской (финансовой) отчетности отдельных организаций (в том числе кредитных и других), включены в перечень лиц, у которых квалификационный аттестат аудитора не может быть аннулирован в связи с неучастием в осуществлении аудиторской деятельности в течение трех последовательных календарных лет</w:t>
            </w:r>
            <w:r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Внесены изменения в Закон Самарской области от 31 декабря 2014 г. № 137-ГД "О порядке осуществления муниципального земельного контроля 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 территории Самарской области"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Теперь решение об организации и осуществлении муниципального земельного контроля, принятое органом местного самоуправления, осуществляющего земельный контроль также должно содержать: порядок оформления и требования к содержанию заданий на проведение плановых и рейдовых осмотров, а также порядок оформления должностными лицами органа муниципального земельного контроля результатов подобных мероприятий.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Изменена часть 1 статьи 6 в следующей редакции: Мероприятия по муниципальному земельному контролю, при проведении которых требуется взаимодействие органа муниципального контроля с гражданами, осуществляются в форме плановых и внеплановых проверок, проводимых в соответствии с приказом (распоряжением) руководителя (заместителя руководителя) органа муниципального земельного контроля.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 проведен анализ правоприменительной практики контрольно-над</w:t>
            </w:r>
            <w:r>
              <w:rPr>
                <w:rFonts w:ascii="Arial" w:hAnsi="Arial" w:cs="Arial"/>
                <w:b/>
                <w:sz w:val="20"/>
                <w:szCs w:val="20"/>
              </w:rPr>
              <w:t>зорной деятельности за 2016 год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Обзор правоприменительной практики подготовлен по результатам контрольно-надзорной деятельности в сферах розничной торговли пищевой продукцией, услуг общественного питания, услуг по перевозке пассажиров и багажа автомобильным транспортом, производства пищевой продукции. При подготовке Обзора были учтены предложения, поступившие от общественных объединений предпринимателей и территориальных органов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Обзор</w:t>
            </w:r>
            <w:r>
              <w:rPr>
                <w:rFonts w:ascii="Arial" w:hAnsi="Arial" w:cs="Arial"/>
                <w:sz w:val="20"/>
                <w:szCs w:val="20"/>
              </w:rPr>
              <w:t>е отмечается, в частности, что: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планирование плановых проверок в рамках федерального государственного санитарно-эпидемиологического надзора осуществлялось с применением риск-ориентированной модели организации контрольно-надзорной деятельности;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организовано формирование, ведение и актуализация перечня объектов государственного надзора, которым присвоены категории риска, обеспечен мониторинг за формированием и ведением перечня объектов государственного надзора;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по результатам контрольно-надзорной деятельности число проверок в 2016 году (235 629 проверок) снизилось в сравнении с аналогичным показателем 2009 года (501 118 проверок) в 2,1 раза и стало на 11 процентов меньше ана</w:t>
            </w:r>
            <w:r>
              <w:rPr>
                <w:rFonts w:ascii="Arial" w:hAnsi="Arial" w:cs="Arial"/>
                <w:sz w:val="20"/>
                <w:szCs w:val="20"/>
              </w:rPr>
              <w:t>логичного показателя 2015 года.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Также проанализированы типовые нарушения обязательных требований законодательства, допущенные хозяйствующими субъектами в 2016 году (к ним относятся, в том числе, отсутствие при оказании услуг общественного питания книги отзывов и предложений,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недоведение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до потребителя сведений о продукции и об услугах посредством меню, прейскурантов или иными способами, принятыми при оказании таких услуг, необеспечение наличия единообразных и четко оформленных ценнико</w:t>
            </w:r>
            <w:r>
              <w:rPr>
                <w:rFonts w:ascii="Arial" w:hAnsi="Arial" w:cs="Arial"/>
                <w:sz w:val="20"/>
                <w:szCs w:val="20"/>
              </w:rPr>
              <w:t>в на реализуемые товары и др.).</w:t>
            </w:r>
          </w:p>
          <w:p w:rsidR="009C7E91" w:rsidRPr="00FF1145" w:rsidRDefault="00840B5E" w:rsidP="00840B5E">
            <w:pPr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Кроме того, в результате проведенного анализа выявлены пробелы в законодательстве, а также нормы национального законодательства в сфере производства и обращения пищевой продукции, дублирующие положения обязательных требований, установленных в технических регламентах. В целях устранения </w:t>
            </w:r>
            <w:r w:rsidRPr="006F2369">
              <w:rPr>
                <w:rFonts w:ascii="Arial" w:hAnsi="Arial" w:cs="Arial"/>
                <w:sz w:val="20"/>
                <w:szCs w:val="20"/>
              </w:rPr>
              <w:lastRenderedPageBreak/>
              <w:t xml:space="preserve">указанных проблем 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правоприменении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организована работа по актуализации соответствующих нормативных правовых актов санитарного законодательства.</w:t>
            </w:r>
          </w:p>
        </w:tc>
      </w:tr>
      <w:tr w:rsidR="00624586" w:rsidRPr="00FF114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</w:tcPr>
          <w:p w:rsidR="00624586" w:rsidRPr="00FF1145" w:rsidRDefault="00FF1145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отношения и охрана труда</w:t>
            </w:r>
          </w:p>
        </w:tc>
        <w:tc>
          <w:tcPr>
            <w:tcW w:w="6898" w:type="dxa"/>
          </w:tcPr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Правительство предусмотрело для </w:t>
            </w:r>
            <w:proofErr w:type="spellStart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юрлиц</w:t>
            </w:r>
            <w:proofErr w:type="spellEnd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дополнительные обязанности: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программу вводного инструктажа по гражданской обороне;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его с сотрудниками в течение первого месяца их работы;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проводить учения и тренировки по гражданской обороне.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Заниматься подготовкой своих работников в области гражданской обороны организации должны и сейчас. В перечень обязанностей входят разработка программ обучения, его проведение, а также создание и поддержание в рабочем состоянии учебно-материальной базы. Со 2 мая эти обязанности также сохранятся, но с уточнением: речь будет идти о курсовом обучении.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невыполнение требований и мероприятий в области гражданской обороны установлена административная ответственность. Организации грозит штраф от 100 тыс. до 200 тыс. руб., если не провести мероприятия по подготовке к защите и по защите работников от опасностей, которые возникают при военных действиях или вследствие них.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           </w:t>
            </w:r>
            <w:r w:rsidRPr="001811BE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Направить работнику расчетный листок, содержащий информацию о составных частях заработной платы, можн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о посредством электронной почты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 выплате заработной платы работодатель обязан извещать в письменной форме каждого работника, в том числе: о составных частях заработной платы, причитающейся ему за соответствующий период, о размерах иных начисленных сумм (отпускные, компенсации за нарушение сроков выплаты зарплаты и пр.), о размерах удержаний и общей денежной сумме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, подлежащей выплате работнику.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Трудовом кодексе РФ установлено, что форма расчетного листка утверждается работодателем. При этом порядок его н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аправления не регламентируется.</w:t>
            </w:r>
          </w:p>
          <w:p w:rsidR="00624586" w:rsidRDefault="00840B5E" w:rsidP="00840B5E">
            <w:pPr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работодателя.</w:t>
            </w:r>
          </w:p>
          <w:p w:rsidR="00840B5E" w:rsidRPr="00FF1145" w:rsidRDefault="00840B5E" w:rsidP="00887F80">
            <w:pPr>
              <w:pStyle w:val="a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4586" w:rsidRPr="0043273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</w:tcPr>
          <w:p w:rsidR="00624586" w:rsidRPr="00FF1145" w:rsidRDefault="00FF1145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Контрольно-кассовая техника</w:t>
            </w:r>
          </w:p>
        </w:tc>
        <w:tc>
          <w:tcPr>
            <w:tcW w:w="6898" w:type="dxa"/>
          </w:tcPr>
          <w:p w:rsidR="00840B5E" w:rsidRPr="00840B5E" w:rsidRDefault="00FF1145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sz w:val="20"/>
                <w:szCs w:val="20"/>
              </w:rPr>
              <w:t xml:space="preserve">          </w:t>
            </w:r>
            <w:r w:rsidR="00840B5E" w:rsidRPr="00840B5E">
              <w:rPr>
                <w:rStyle w:val="a9"/>
                <w:rFonts w:ascii="Arial" w:hAnsi="Arial" w:cs="Arial"/>
                <w:sz w:val="20"/>
                <w:szCs w:val="20"/>
              </w:rPr>
              <w:t>Организациям, которые обслуживают ККТ, не нужно будет для этого получать лицензию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Установка сертифицированных ФСБ России криптографических средств защиты фискальных данных, разработанных для применения в составе контрольно-кассовой техники, более не является лицензируемым видом деятельности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Также не является лицензируемым видом деятельности монтаж, наладка и передача таких криптографических средств защиты.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Правительство закрепило такое правило новым постановлением, которое скоро вступит в силу.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Лицензия не понадобится для монтажа, установки, инсталляции, </w:t>
            </w: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lastRenderedPageBreak/>
              <w:t>наладки шифровальных средств защиты фискальных данных, разработанных для ККТ и сертифицированных ФСБ.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Благодаря изменениям снизятся затраты организаций, которые занимаются техподдержкой кассовой техники. Следовательно, уменьшатся и затраты бизнеса, работающего с ККТ. Сейчас в среднем центры техобслуживания тратят 1 млн руб. в год на содержание специалистов, у которых есть необходимая для получения лицензии квалификация. Эти затраты включаются в стоимость обслуживания ККТ, говорится в справке к новому постановлению.</w:t>
            </w:r>
          </w:p>
          <w:p w:rsidR="00624586" w:rsidRPr="00FF1145" w:rsidRDefault="00840B5E" w:rsidP="00840B5E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Напомним, ККТ должна обеспечиваться техподдержкой поставщика или центра техобслуживания.</w:t>
            </w:r>
          </w:p>
        </w:tc>
      </w:tr>
      <w:tr w:rsidR="00840B5E" w:rsidRPr="00432735" w:rsidTr="00FF1145">
        <w:tc>
          <w:tcPr>
            <w:tcW w:w="328" w:type="dxa"/>
          </w:tcPr>
          <w:p w:rsidR="00840B5E" w:rsidRPr="00FF1145" w:rsidRDefault="00840B5E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</w:tcPr>
          <w:p w:rsidR="00840B5E" w:rsidRPr="00FF1145" w:rsidRDefault="00840B5E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Оборот алкогольной продукции</w:t>
            </w:r>
          </w:p>
        </w:tc>
        <w:tc>
          <w:tcPr>
            <w:tcW w:w="6898" w:type="dxa"/>
          </w:tcPr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A3513">
              <w:rPr>
                <w:rFonts w:ascii="Arial" w:hAnsi="Arial" w:cs="Arial"/>
                <w:b/>
                <w:sz w:val="20"/>
                <w:szCs w:val="20"/>
              </w:rPr>
              <w:t>Минфин России сообщил о размере государственной пошлины за переоформление или продление срока действия лицензии на розничную продажу алкоголя в случае подачи зая</w:t>
            </w:r>
            <w:r>
              <w:rPr>
                <w:rFonts w:ascii="Arial" w:hAnsi="Arial" w:cs="Arial"/>
                <w:b/>
                <w:sz w:val="20"/>
                <w:szCs w:val="20"/>
              </w:rPr>
              <w:t>вления после 31 марта 2017 года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В силу положений Федерального закона от 3 июля 2016 г. N 261-ФЗ с 31 марта 2017 года будут выдаваться самостоятельные лицензии на розничную продажу алкогольной продукции и розничную продажу алкогольной продукции при оказании услуг общественного питания. Выданная до этой даты "единая" лицензия действует </w:t>
            </w:r>
            <w:r>
              <w:rPr>
                <w:rFonts w:ascii="Arial" w:hAnsi="Arial" w:cs="Arial"/>
                <w:sz w:val="20"/>
                <w:szCs w:val="20"/>
              </w:rPr>
              <w:t>до окончания срока ее действия.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мнению Минфина России: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переоформления лицензии на розничную продажу алкогольной продукции, например в </w:t>
            </w:r>
            <w:proofErr w:type="gramStart"/>
            <w:r w:rsidRPr="004A3513">
              <w:rPr>
                <w:rFonts w:ascii="Arial" w:hAnsi="Arial" w:cs="Arial"/>
                <w:sz w:val="20"/>
                <w:szCs w:val="20"/>
              </w:rPr>
              <w:t>связи</w:t>
            </w:r>
            <w:proofErr w:type="gramEnd"/>
            <w:r w:rsidRPr="004A3513">
              <w:rPr>
                <w:rFonts w:ascii="Arial" w:hAnsi="Arial" w:cs="Arial"/>
                <w:sz w:val="20"/>
                <w:szCs w:val="20"/>
              </w:rPr>
              <w:t xml:space="preserve"> с изменением наименования юридического лица либо в связи с утратой лицензии, выданной до 31 марта 2017 года, государственная пошлина уплачивается в размере, установленном абзацем 19 подпункта 94 пункта 1 статьи 333.33 НК РФ;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подачи заявления о продлении срока действия лицензии государственная пошлина уплачивается в размере, установленном абзацем 24 подпункта 94 пункта 1 статьи 333.33 НК РФ, за каждый вид деятельности, в частности за розничную продажу алкогольной продукции и (или) за розничную продажу алкогольной продукции при оказании услуг общественного питания.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b/>
                <w:sz w:val="20"/>
                <w:szCs w:val="20"/>
              </w:rPr>
              <w:t>Минфин повышает минимальные розничные цены на водку и коньяк с 13 мая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Цена с НДС и акцизом, не ниже которой в розницу продается водка крепостью свыше 38 до 39%, вырастет на 11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201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На водку крепостью свыше 39 до 40% минимальная цена увеличится на 15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205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Повысится на 49 руб. минимальная цена розничной продажи коньяка за пол-литра готовой продукции. Сейчас она составл</w:t>
            </w:r>
            <w:r>
              <w:rPr>
                <w:rFonts w:ascii="Arial" w:hAnsi="Arial" w:cs="Arial"/>
                <w:sz w:val="20"/>
                <w:szCs w:val="20"/>
              </w:rPr>
              <w:t>яет 322 руб., а станет 371 руб.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Напомним, что за занижение регулируемых государством цен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юрлицо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 xml:space="preserve"> ждет штраф в размере 100 тыс. руб. Споры о привлечении к такой ответственности доходят даже до ВС РФ, но, как правило, ничем хорошим для нарушителей не заканчиваются.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 xml:space="preserve">Минфин России признал правомерным отказ в выдаче лицензии на оборот алкогольной продукции при наличии задолженности по уплате пеней и штрафов в части страховых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взносов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Срок действия лицензии продлевается при условии представления налоговым органом сведений об отсутствии задолженно</w:t>
            </w:r>
            <w:r>
              <w:rPr>
                <w:rFonts w:ascii="Arial" w:hAnsi="Arial" w:cs="Arial"/>
                <w:sz w:val="20"/>
                <w:szCs w:val="20"/>
              </w:rPr>
              <w:t>сти по уплате налогов и сборов.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Следовательно, наличие задолженности по уплате страховых взносов не является основанием для отказа лицензирующего органа в про</w:t>
            </w:r>
            <w:r>
              <w:rPr>
                <w:rFonts w:ascii="Arial" w:hAnsi="Arial" w:cs="Arial"/>
                <w:sz w:val="20"/>
                <w:szCs w:val="20"/>
              </w:rPr>
              <w:t>длении срока действия лицензии.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Однако в письме указано, что в соответствии с подпунктом 1 пункта 1 статьи 1 НК РФ законодательство РФ о налогах и сборах состоит из Налогового кодекса РФ и принятых в соответствии с ним федеральных законов о нало</w:t>
            </w:r>
            <w:r>
              <w:rPr>
                <w:rFonts w:ascii="Arial" w:hAnsi="Arial" w:cs="Arial"/>
                <w:sz w:val="20"/>
                <w:szCs w:val="20"/>
              </w:rPr>
              <w:t>гах, сборах, страховых взносах.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 учетом изложенного сообщается, что отказ в выдаче лицензии при наличии задолженности по уплате пеней и штрафов за нарушение законодательства Российской Федерации о налогах и сборах в части страховых взносов правомерен.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Расширены полномочия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Росалкогольрегулирования</w:t>
            </w:r>
            <w:proofErr w:type="spellEnd"/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частности, Федеральная служба по регулированию алкогольного рынка уполномочена: осуществлять надзор за использованием основного технологического оборудования для производства этилового спирта, которое подлеж</w:t>
            </w:r>
            <w:r>
              <w:rPr>
                <w:rFonts w:ascii="Arial" w:hAnsi="Arial" w:cs="Arial"/>
                <w:sz w:val="20"/>
                <w:szCs w:val="20"/>
              </w:rPr>
              <w:t>ит государственной регистрации;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принимать решения о государственной регистрации основного технологического оборудования для производства этилового спирта с производственной м</w:t>
            </w:r>
            <w:r>
              <w:rPr>
                <w:rFonts w:ascii="Arial" w:hAnsi="Arial" w:cs="Arial"/>
                <w:sz w:val="20"/>
                <w:szCs w:val="20"/>
              </w:rPr>
              <w:t>ощностью более 4000 декалитров;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лицензирование производства, хранения, поставок и розничной продажи винодельческой продукции, 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законом о развитии сельского хозяйства;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контроль за проведением консервации (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расконсервации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) основного технологического оборудования для производства этилового спирта, алкогольной и спиртосодержащей продукции лица, лицензия которого была аннулирована или действие лицензии которого было прекращено, а также основного технологического оборудования для производства этилового спирта, которое подлежит государственной регистрации.</w:t>
            </w:r>
          </w:p>
          <w:p w:rsidR="00840B5E" w:rsidRPr="00FF1145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</w:tr>
    </w:tbl>
    <w:p w:rsidR="00D74309" w:rsidRPr="00432735" w:rsidRDefault="00D74309" w:rsidP="00530073">
      <w:pPr>
        <w:spacing w:after="0" w:line="312" w:lineRule="auto"/>
        <w:ind w:firstLine="547"/>
        <w:jc w:val="both"/>
        <w:rPr>
          <w:rFonts w:ascii="Arial" w:hAnsi="Arial" w:cs="Arial"/>
          <w:sz w:val="20"/>
          <w:szCs w:val="20"/>
        </w:rPr>
      </w:pPr>
    </w:p>
    <w:sectPr w:rsidR="00D74309" w:rsidRPr="004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E50"/>
    <w:multiLevelType w:val="multilevel"/>
    <w:tmpl w:val="330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4418"/>
    <w:multiLevelType w:val="hybridMultilevel"/>
    <w:tmpl w:val="B052A9CC"/>
    <w:lvl w:ilvl="0" w:tplc="AD8ED15E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8"/>
    <w:rsid w:val="00081D0C"/>
    <w:rsid w:val="000B3635"/>
    <w:rsid w:val="00147C8C"/>
    <w:rsid w:val="00153A22"/>
    <w:rsid w:val="001C6824"/>
    <w:rsid w:val="00204985"/>
    <w:rsid w:val="00245747"/>
    <w:rsid w:val="00274C64"/>
    <w:rsid w:val="00432735"/>
    <w:rsid w:val="0044775F"/>
    <w:rsid w:val="00494254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40B5E"/>
    <w:rsid w:val="00884206"/>
    <w:rsid w:val="00887F80"/>
    <w:rsid w:val="008D2D6B"/>
    <w:rsid w:val="009C7E91"/>
    <w:rsid w:val="00A67D8E"/>
    <w:rsid w:val="00AC1B6A"/>
    <w:rsid w:val="00D0193C"/>
    <w:rsid w:val="00D74309"/>
    <w:rsid w:val="00D81820"/>
    <w:rsid w:val="00DB7337"/>
    <w:rsid w:val="00DC07C2"/>
    <w:rsid w:val="00E34071"/>
    <w:rsid w:val="00EB2EB1"/>
    <w:rsid w:val="00F46A90"/>
    <w:rsid w:val="00F471C9"/>
    <w:rsid w:val="00F6172F"/>
    <w:rsid w:val="00FF114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lawyer429-3-03</dc:creator>
  <cp:lastModifiedBy>Олеся Кудинова</cp:lastModifiedBy>
  <cp:revision>2</cp:revision>
  <cp:lastPrinted>2017-01-12T13:07:00Z</cp:lastPrinted>
  <dcterms:created xsi:type="dcterms:W3CDTF">2017-06-05T06:01:00Z</dcterms:created>
  <dcterms:modified xsi:type="dcterms:W3CDTF">2017-06-05T06:01:00Z</dcterms:modified>
</cp:coreProperties>
</file>